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B905" w14:textId="797865B9" w:rsidR="00E15AEF" w:rsidRPr="00E15AEF" w:rsidRDefault="00E15AEF" w:rsidP="00E15AEF">
      <w:pPr>
        <w:jc w:val="center"/>
        <w:rPr>
          <w:rFonts w:ascii="Times New Roman" w:hAnsi="Times New Roman" w:cs="Times New Roman"/>
          <w:b/>
          <w:bCs/>
          <w:sz w:val="24"/>
          <w:szCs w:val="24"/>
        </w:rPr>
      </w:pPr>
      <w:r w:rsidRPr="00E15AEF">
        <w:rPr>
          <w:rFonts w:ascii="Times New Roman" w:hAnsi="Times New Roman" w:cs="Times New Roman"/>
          <w:b/>
          <w:bCs/>
          <w:sz w:val="24"/>
          <w:szCs w:val="24"/>
        </w:rPr>
        <w:t>La autonomía municipal en la provincia de Buenos Aires: Una asignatura pendiente a 30 años de la reforma constitucional de 1994.</w:t>
      </w:r>
    </w:p>
    <w:p w14:paraId="5F1D4078" w14:textId="3ADD9086" w:rsidR="00E15AEF" w:rsidRPr="00E15AEF" w:rsidRDefault="00E15AEF" w:rsidP="00E15AEF">
      <w:pPr>
        <w:rPr>
          <w:rFonts w:ascii="Times New Roman" w:hAnsi="Times New Roman" w:cs="Times New Roman"/>
          <w:sz w:val="24"/>
          <w:szCs w:val="24"/>
        </w:rPr>
      </w:pPr>
      <w:r w:rsidRPr="00E17146">
        <w:rPr>
          <w:rFonts w:ascii="Times New Roman" w:hAnsi="Times New Roman" w:cs="Times New Roman"/>
          <w:b/>
          <w:bCs/>
          <w:sz w:val="24"/>
          <w:szCs w:val="24"/>
        </w:rPr>
        <w:t>Área Temática:</w:t>
      </w:r>
      <w:r w:rsidRPr="00E15AEF">
        <w:rPr>
          <w:rFonts w:ascii="Times New Roman" w:hAnsi="Times New Roman" w:cs="Times New Roman"/>
          <w:sz w:val="24"/>
          <w:szCs w:val="24"/>
        </w:rPr>
        <w:t xml:space="preserve"> Derechos Humanos y Derecho Internacional Público</w:t>
      </w:r>
    </w:p>
    <w:p w14:paraId="308C0F47" w14:textId="2ED8698C" w:rsidR="00E15AEF" w:rsidRPr="00E15AEF" w:rsidRDefault="00E17146" w:rsidP="00E17146">
      <w:pPr>
        <w:jc w:val="both"/>
        <w:rPr>
          <w:rFonts w:ascii="Times New Roman" w:hAnsi="Times New Roman" w:cs="Times New Roman"/>
          <w:sz w:val="24"/>
          <w:szCs w:val="24"/>
        </w:rPr>
      </w:pPr>
      <w:r w:rsidRPr="00E17146">
        <w:rPr>
          <w:rFonts w:ascii="Times New Roman" w:hAnsi="Times New Roman" w:cs="Times New Roman"/>
          <w:b/>
          <w:bCs/>
          <w:sz w:val="24"/>
          <w:szCs w:val="24"/>
        </w:rPr>
        <w:t>Autor:</w:t>
      </w:r>
      <w:r>
        <w:rPr>
          <w:rFonts w:ascii="Times New Roman" w:hAnsi="Times New Roman" w:cs="Times New Roman"/>
          <w:sz w:val="24"/>
          <w:szCs w:val="24"/>
        </w:rPr>
        <w:t xml:space="preserve"> </w:t>
      </w:r>
      <w:r w:rsidR="00E15AEF" w:rsidRPr="00E15AEF">
        <w:rPr>
          <w:rFonts w:ascii="Times New Roman" w:hAnsi="Times New Roman" w:cs="Times New Roman"/>
          <w:sz w:val="24"/>
          <w:szCs w:val="24"/>
        </w:rPr>
        <w:t>Elsa María del Carmen Lloret</w:t>
      </w:r>
      <w:r>
        <w:rPr>
          <w:rFonts w:ascii="Times New Roman" w:hAnsi="Times New Roman" w:cs="Times New Roman"/>
          <w:sz w:val="24"/>
          <w:szCs w:val="24"/>
        </w:rPr>
        <w:t>, Facultad de Derecho</w:t>
      </w:r>
      <w:r w:rsidR="00E15AEF" w:rsidRPr="00E15AEF">
        <w:rPr>
          <w:rFonts w:ascii="Times New Roman" w:hAnsi="Times New Roman" w:cs="Times New Roman"/>
          <w:sz w:val="24"/>
          <w:szCs w:val="24"/>
        </w:rPr>
        <w:t xml:space="preserve"> (UNICEN)</w:t>
      </w:r>
      <w:r>
        <w:rPr>
          <w:rFonts w:ascii="Times New Roman" w:hAnsi="Times New Roman" w:cs="Times New Roman"/>
          <w:sz w:val="24"/>
          <w:szCs w:val="24"/>
        </w:rPr>
        <w:t xml:space="preserve">, </w:t>
      </w:r>
      <w:hyperlink r:id="rId4" w:history="1">
        <w:r w:rsidRPr="00791FA7">
          <w:rPr>
            <w:rStyle w:val="Hipervnculo"/>
            <w:rFonts w:ascii="Times New Roman" w:hAnsi="Times New Roman" w:cs="Times New Roman"/>
            <w:sz w:val="24"/>
            <w:szCs w:val="24"/>
          </w:rPr>
          <w:t>maritalloret69@gmail.com</w:t>
        </w:r>
      </w:hyperlink>
      <w:r>
        <w:rPr>
          <w:rFonts w:ascii="Times New Roman" w:hAnsi="Times New Roman" w:cs="Times New Roman"/>
          <w:sz w:val="24"/>
          <w:szCs w:val="24"/>
        </w:rPr>
        <w:t xml:space="preserve"> </w:t>
      </w:r>
    </w:p>
    <w:p w14:paraId="0832EC6C" w14:textId="27FE703F" w:rsidR="00E15AEF" w:rsidRPr="00E15AEF" w:rsidRDefault="00E15AEF" w:rsidP="00E15AEF">
      <w:pPr>
        <w:jc w:val="both"/>
        <w:rPr>
          <w:rFonts w:ascii="Times New Roman" w:hAnsi="Times New Roman" w:cs="Times New Roman"/>
          <w:sz w:val="24"/>
          <w:szCs w:val="24"/>
        </w:rPr>
      </w:pPr>
      <w:r w:rsidRPr="00E15AEF">
        <w:rPr>
          <w:rFonts w:ascii="Times New Roman" w:hAnsi="Times New Roman" w:cs="Times New Roman"/>
          <w:b/>
          <w:bCs/>
          <w:sz w:val="24"/>
          <w:szCs w:val="24"/>
        </w:rPr>
        <w:t>Resumen</w:t>
      </w:r>
      <w:r>
        <w:rPr>
          <w:rFonts w:ascii="Times New Roman" w:hAnsi="Times New Roman" w:cs="Times New Roman"/>
          <w:sz w:val="24"/>
          <w:szCs w:val="24"/>
        </w:rPr>
        <w:t>:</w:t>
      </w:r>
      <w:r w:rsidRPr="00E15AEF">
        <w:rPr>
          <w:rFonts w:ascii="Times New Roman" w:hAnsi="Times New Roman" w:cs="Times New Roman"/>
          <w:sz w:val="24"/>
          <w:szCs w:val="24"/>
        </w:rPr>
        <w:t xml:space="preserve">   La Reforma constitucional trajo importantes enmiendas, no solamente en el plexo de los derechos constitucionales, por incorporación de 14 instrumentos internacionales que gozan de jerarquía constitucional, es decir que comparten juntamente con la Constitución la cúspide de la pirámide, sino también en el “derecho constitucional del poder”, tanto desde la división horizontal, en la tríada clásica de Poder Ejecutivo, Legislativo y Judicial, como en la distribución vertical del mismo, es decir, Nación, Provincia, Municipios y Ciudad Autónoma de Buenos Aires.</w:t>
      </w:r>
    </w:p>
    <w:p w14:paraId="24A497D2" w14:textId="77777777" w:rsidR="00E15AEF" w:rsidRPr="00E15AEF" w:rsidRDefault="00E15AEF" w:rsidP="00E15AEF">
      <w:pPr>
        <w:jc w:val="both"/>
        <w:rPr>
          <w:rFonts w:ascii="Times New Roman" w:hAnsi="Times New Roman" w:cs="Times New Roman"/>
          <w:sz w:val="24"/>
          <w:szCs w:val="24"/>
        </w:rPr>
      </w:pPr>
      <w:r w:rsidRPr="00E15AEF">
        <w:rPr>
          <w:rFonts w:ascii="Times New Roman" w:hAnsi="Times New Roman" w:cs="Times New Roman"/>
          <w:sz w:val="24"/>
          <w:szCs w:val="24"/>
        </w:rPr>
        <w:t>Al decir de Bidart Campos, opinión a la que adherimos, la Reforma de 1994, modificó en mucho la estructura del poder, si se la compara con la histórica de la constitución fundacional de 1853/60 y en lo que respecta a las presentes reflexiones centraremos la mirada en los municipios de la provincia Buenos Aires, ya que la constitución federal reconoce en el Art.123 la autonomía municipal.</w:t>
      </w:r>
    </w:p>
    <w:p w14:paraId="5BE1C6A8" w14:textId="206D9BCB" w:rsidR="00D101DE" w:rsidRPr="00E15AEF" w:rsidRDefault="00E15AEF" w:rsidP="00E15AEF">
      <w:pPr>
        <w:jc w:val="both"/>
        <w:rPr>
          <w:rFonts w:ascii="Times New Roman" w:hAnsi="Times New Roman" w:cs="Times New Roman"/>
          <w:sz w:val="24"/>
          <w:szCs w:val="24"/>
        </w:rPr>
      </w:pPr>
      <w:r w:rsidRPr="00E15AEF">
        <w:rPr>
          <w:rFonts w:ascii="Times New Roman" w:hAnsi="Times New Roman" w:cs="Times New Roman"/>
          <w:sz w:val="24"/>
          <w:szCs w:val="24"/>
        </w:rPr>
        <w:t>El objetivo de la presente reflexión es visualizar la aplicación efectiva de la autonomía municipal y como la demanda ciudadana incide en la agenda local, y de qué manera se resuelve el desequilibrio entre recursos y funciones asumidas, y como se dirimen los conflictos de poder ante la incursión del municipio en espacios competenciales del gobierno provincial</w:t>
      </w:r>
      <w:r>
        <w:t>.</w:t>
      </w:r>
    </w:p>
    <w:sectPr w:rsidR="00D101DE" w:rsidRPr="00E15A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F2"/>
    <w:rsid w:val="008D29F2"/>
    <w:rsid w:val="00C17B42"/>
    <w:rsid w:val="00D101DE"/>
    <w:rsid w:val="00E15AEF"/>
    <w:rsid w:val="00E171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8206"/>
  <w15:chartTrackingRefBased/>
  <w15:docId w15:val="{7514D884-1747-41DC-B30C-715ED3CD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7146"/>
    <w:rPr>
      <w:color w:val="0563C1" w:themeColor="hyperlink"/>
      <w:u w:val="single"/>
    </w:rPr>
  </w:style>
  <w:style w:type="character" w:styleId="Mencinsinresolver">
    <w:name w:val="Unresolved Mention"/>
    <w:basedOn w:val="Fuentedeprrafopredeter"/>
    <w:uiPriority w:val="99"/>
    <w:semiHidden/>
    <w:unhideWhenUsed/>
    <w:rsid w:val="00E17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talloret6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1406</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Lloret Tiscornia</dc:creator>
  <cp:keywords/>
  <dc:description/>
  <cp:lastModifiedBy>Marita Lloret Tiscornia</cp:lastModifiedBy>
  <cp:revision>4</cp:revision>
  <dcterms:created xsi:type="dcterms:W3CDTF">2024-07-31T22:52:00Z</dcterms:created>
  <dcterms:modified xsi:type="dcterms:W3CDTF">2024-07-31T22:57:00Z</dcterms:modified>
</cp:coreProperties>
</file>